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A11A2" w:rsidP="00AF77A9" w:rsidRDefault="00BC22C4" w14:paraId="1067DCB5" w14:textId="040775FC">
      <w:pPr>
        <w:pStyle w:val="Title"/>
      </w:pPr>
      <w:r>
        <w:t xml:space="preserve">IGI Global Scientific Publishing </w:t>
      </w:r>
      <w:r w:rsidR="0007276C">
        <w:t xml:space="preserve">Mathematical </w:t>
      </w:r>
      <w:r w:rsidR="0008216C">
        <w:t>Equation</w:t>
      </w:r>
      <w:r w:rsidR="0007276C">
        <w:t xml:space="preserve"> </w:t>
      </w:r>
      <w:r w:rsidR="000842F1">
        <w:t xml:space="preserve">and Pseudocode </w:t>
      </w:r>
      <w:r w:rsidR="00921E4C">
        <w:t>Guide</w:t>
      </w:r>
    </w:p>
    <w:p w:rsidR="00731BA8" w:rsidP="00731BA8" w:rsidRDefault="00731BA8" w14:paraId="27F4F7F9" w14:textId="31249F25">
      <w:r w:rsidRPr="00586B96">
        <w:rPr>
          <w:b/>
        </w:rPr>
        <w:t>Created:</w:t>
      </w:r>
      <w:r>
        <w:t xml:space="preserve"> </w:t>
      </w:r>
      <w:r w:rsidR="008C79B1">
        <w:t>May 14, 2025</w:t>
      </w:r>
    </w:p>
    <w:p w:rsidR="00731BA8" w:rsidP="00731BA8" w:rsidRDefault="00731BA8" w14:paraId="3B150ADD" w14:textId="25A270B3">
      <w:r w:rsidRPr="00586B96">
        <w:rPr>
          <w:b/>
        </w:rPr>
        <w:t>Last Edited:</w:t>
      </w:r>
      <w:r w:rsidR="008C79B1">
        <w:t xml:space="preserve"> May 1</w:t>
      </w:r>
      <w:r w:rsidR="00F87461">
        <w:t>5</w:t>
      </w:r>
      <w:r w:rsidR="008C79B1">
        <w:t>, 2025</w:t>
      </w:r>
    </w:p>
    <w:p w:rsidR="001816E0" w:rsidP="00731BA8" w:rsidRDefault="00337832" w14:paraId="5FEB8725" w14:textId="0FEF1418" w14:noSpellErr="1">
      <w:r w:rsidR="00337832">
        <w:rPr/>
        <w:t xml:space="preserve">This guide describes submission criteria for </w:t>
      </w:r>
      <w:r w:rsidR="00D33325">
        <w:rPr/>
        <w:t>mathematical</w:t>
      </w:r>
      <w:r w:rsidR="00337832">
        <w:rPr/>
        <w:t xml:space="preserve"> </w:t>
      </w:r>
      <w:r w:rsidR="0008216C">
        <w:rPr/>
        <w:t>equations</w:t>
      </w:r>
      <w:r w:rsidR="00CD0874">
        <w:rPr/>
        <w:t xml:space="preserve"> </w:t>
      </w:r>
      <w:r w:rsidR="00910817">
        <w:rPr/>
        <w:t xml:space="preserve">and pseudocode </w:t>
      </w:r>
      <w:r w:rsidR="00CD0874">
        <w:rPr/>
        <w:t xml:space="preserve">for all </w:t>
      </w:r>
      <w:r w:rsidRPr="36EBBB15" w:rsidR="00CD0874">
        <w:rPr>
          <w:i w:val="0"/>
          <w:iCs w:val="0"/>
        </w:rPr>
        <w:t>IGI Global Scientific Publishing</w:t>
      </w:r>
      <w:r w:rsidRPr="36EBBB15" w:rsidR="00CD0874">
        <w:rPr>
          <w:i w:val="0"/>
          <w:iCs w:val="0"/>
        </w:rPr>
        <w:t xml:space="preserve"> </w:t>
      </w:r>
      <w:r w:rsidR="00CD0874">
        <w:rPr/>
        <w:t>publications</w:t>
      </w:r>
      <w:r w:rsidR="00166E79">
        <w:rPr/>
        <w:t>.</w:t>
      </w:r>
    </w:p>
    <w:p w:rsidR="00294D42" w:rsidP="00AF77A9" w:rsidRDefault="0019029D" w14:paraId="62BAB143" w14:textId="4168AA25">
      <w:pPr>
        <w:pStyle w:val="Heading1"/>
      </w:pPr>
      <w:r>
        <w:t>1. EQUATIONS</w:t>
      </w:r>
    </w:p>
    <w:p w:rsidRPr="00166E79" w:rsidR="00166E79" w:rsidP="00166E79" w:rsidRDefault="00166E79" w14:paraId="00D49542" w14:textId="4CB414F9">
      <w:r>
        <w:t>In this guide, the term equation(s) will refer to any type of mathematical expression such as equations, expressions, identities, inequalities, functions, etc.</w:t>
      </w:r>
    </w:p>
    <w:p w:rsidR="00921E4C" w:rsidP="00C12052" w:rsidRDefault="0019029D" w14:paraId="7AA9E3EB" w14:textId="5C5B1FA3">
      <w:pPr>
        <w:pStyle w:val="Heading2"/>
      </w:pPr>
      <w:r>
        <w:t>A</w:t>
      </w:r>
      <w:r w:rsidR="00CE0449">
        <w:t xml:space="preserve">. </w:t>
      </w:r>
      <w:r>
        <w:t>Accepted Equation Editing Tools</w:t>
      </w:r>
    </w:p>
    <w:p w:rsidR="00A10DC7" w:rsidP="007B5E7A" w:rsidRDefault="000E7E7C" w14:paraId="07BAC247" w14:textId="73D0CE4A" w14:noSpellErr="1">
      <w:r w:rsidR="000E7E7C">
        <w:rPr/>
        <w:t>Equations</w:t>
      </w:r>
      <w:r w:rsidR="005A1C60">
        <w:rPr/>
        <w:t xml:space="preserve"> created with t</w:t>
      </w:r>
      <w:r w:rsidR="00AB7581">
        <w:rPr/>
        <w:t xml:space="preserve">he following </w:t>
      </w:r>
      <w:r w:rsidR="005A1C60">
        <w:rPr/>
        <w:t>edit</w:t>
      </w:r>
      <w:r w:rsidR="008725BE">
        <w:rPr/>
        <w:t>ing</w:t>
      </w:r>
      <w:r w:rsidR="005A1C60">
        <w:rPr/>
        <w:t xml:space="preserve"> </w:t>
      </w:r>
      <w:r w:rsidR="00AB7581">
        <w:rPr/>
        <w:t>tools are</w:t>
      </w:r>
      <w:r w:rsidR="00E213C7">
        <w:rPr/>
        <w:t xml:space="preserve"> compatible with</w:t>
      </w:r>
      <w:r w:rsidR="00AB7581">
        <w:rPr/>
        <w:t xml:space="preserve"> </w:t>
      </w:r>
      <w:r w:rsidRPr="36EBBB15" w:rsidR="00DB4351">
        <w:rPr>
          <w:i w:val="0"/>
          <w:iCs w:val="0"/>
        </w:rPr>
        <w:t>IGI Global Scientific Publishing</w:t>
      </w:r>
      <w:r w:rsidRPr="36EBBB15" w:rsidR="00E213C7">
        <w:rPr>
          <w:i w:val="0"/>
          <w:iCs w:val="0"/>
        </w:rPr>
        <w:t xml:space="preserve">’s </w:t>
      </w:r>
      <w:r w:rsidR="00E213C7">
        <w:rPr/>
        <w:t>content management system</w:t>
      </w:r>
      <w:r w:rsidR="004E6C8A">
        <w:rPr/>
        <w:t>:</w:t>
      </w:r>
    </w:p>
    <w:p w:rsidR="00A10DC7" w:rsidP="001801DF" w:rsidRDefault="002454D0" w14:paraId="79223A65" w14:textId="36E35DA4">
      <w:pPr>
        <w:pStyle w:val="ListParagraph"/>
        <w:numPr>
          <w:ilvl w:val="0"/>
          <w:numId w:val="1"/>
        </w:numPr>
      </w:pPr>
      <w:proofErr w:type="spellStart"/>
      <w:r w:rsidRPr="001801DF">
        <w:rPr>
          <w:b/>
          <w:bCs/>
        </w:rPr>
        <w:t>Wiris</w:t>
      </w:r>
      <w:proofErr w:type="spellEnd"/>
      <w:r w:rsidRPr="001801DF" w:rsidR="001B4A8C">
        <w:rPr>
          <w:b/>
          <w:bCs/>
        </w:rPr>
        <w:t xml:space="preserve"> Mathtype</w:t>
      </w:r>
      <w:r w:rsidRPr="001801DF" w:rsidR="00144B85">
        <w:rPr>
          <w:b/>
          <w:bCs/>
        </w:rPr>
        <w:t xml:space="preserve"> </w:t>
      </w:r>
      <w:r w:rsidRPr="001801DF" w:rsidR="00144B85">
        <w:t>math editor</w:t>
      </w:r>
      <w:r w:rsidR="00144B85">
        <w:t xml:space="preserve"> (</w:t>
      </w:r>
      <w:hyperlink w:history="1" r:id="rId8">
        <w:r w:rsidRPr="00402AD3" w:rsidR="00144B85">
          <w:rPr>
            <w:rStyle w:val="Hyperlink"/>
          </w:rPr>
          <w:t>https://www.wiris.com/en/mathtype/</w:t>
        </w:r>
      </w:hyperlink>
      <w:r w:rsidR="00144B85">
        <w:t>)</w:t>
      </w:r>
      <w:r w:rsidR="00CD5A4B">
        <w:t>,</w:t>
      </w:r>
      <w:r w:rsidR="00144B85">
        <w:t xml:space="preserve"> or </w:t>
      </w:r>
    </w:p>
    <w:p w:rsidR="00A10DC7" w:rsidP="001801DF" w:rsidRDefault="008D4118" w14:paraId="1A5E2317" w14:textId="22392D83">
      <w:pPr>
        <w:pStyle w:val="ListParagraph"/>
        <w:numPr>
          <w:ilvl w:val="0"/>
          <w:numId w:val="1"/>
        </w:numPr>
      </w:pPr>
      <w:r w:rsidRPr="00D10826">
        <w:rPr>
          <w:b/>
          <w:bCs/>
        </w:rPr>
        <w:t>Microsoft Word</w:t>
      </w:r>
      <w:r w:rsidRPr="00D10826" w:rsidR="001801DF">
        <w:rPr>
          <w:b/>
          <w:bCs/>
        </w:rPr>
        <w:t xml:space="preserve"> Equation Tools</w:t>
      </w:r>
      <w:r w:rsidR="004D67F5">
        <w:t xml:space="preserve"> (</w:t>
      </w:r>
      <w:hyperlink w:history="1" w:anchor="category=write_equation" r:id="rId9">
        <w:r w:rsidRPr="00AA6D3B" w:rsidR="004D67F5">
          <w:rPr>
            <w:rStyle w:val="Hyperlink"/>
          </w:rPr>
          <w:t>preinstalled in most versions of Microsoft Word</w:t>
        </w:r>
      </w:hyperlink>
      <w:r w:rsidR="004D67F5">
        <w:t>)</w:t>
      </w:r>
      <w:r>
        <w:t>.</w:t>
      </w:r>
    </w:p>
    <w:p w:rsidR="00324B18" w:rsidP="007B5E7A" w:rsidRDefault="00324B18" w14:paraId="505AFF6B" w14:textId="4967053E">
      <w:r>
        <w:t>Not Allowed:</w:t>
      </w:r>
    </w:p>
    <w:p w:rsidR="00324B18" w:rsidP="00BE7A52" w:rsidRDefault="000E7E7C" w14:paraId="523AED66" w14:textId="7F8A0B42">
      <w:pPr>
        <w:pStyle w:val="ListParagraph"/>
        <w:numPr>
          <w:ilvl w:val="0"/>
          <w:numId w:val="2"/>
        </w:numPr>
      </w:pPr>
      <w:r>
        <w:t xml:space="preserve">Equations </w:t>
      </w:r>
      <w:r w:rsidR="009215B1">
        <w:t xml:space="preserve">submitted as </w:t>
      </w:r>
      <w:r w:rsidR="00A02ED6">
        <w:t xml:space="preserve">embedded image files (jpg, </w:t>
      </w:r>
      <w:proofErr w:type="spellStart"/>
      <w:r w:rsidR="00A02ED6">
        <w:t>png</w:t>
      </w:r>
      <w:proofErr w:type="spellEnd"/>
      <w:r w:rsidR="00A02ED6">
        <w:t>, etc.)</w:t>
      </w:r>
    </w:p>
    <w:p w:rsidR="000653F2" w:rsidP="00BE7A52" w:rsidRDefault="000E7E7C" w14:paraId="08BA397F" w14:textId="270A9099">
      <w:pPr>
        <w:pStyle w:val="ListParagraph"/>
        <w:numPr>
          <w:ilvl w:val="0"/>
          <w:numId w:val="2"/>
        </w:numPr>
      </w:pPr>
      <w:r>
        <w:t xml:space="preserve">Equations </w:t>
      </w:r>
      <w:r w:rsidR="00FE4E0B">
        <w:t>made using Microsoft Word’s shapes or</w:t>
      </w:r>
      <w:r w:rsidR="0090414B">
        <w:t xml:space="preserve"> draw tools</w:t>
      </w:r>
      <w:r>
        <w:t xml:space="preserve"> (either whole or in-part)</w:t>
      </w:r>
      <w:r w:rsidR="0090414B">
        <w:t>.</w:t>
      </w:r>
      <w:r w:rsidR="000653F2">
        <w:t xml:space="preserve"> </w:t>
      </w:r>
    </w:p>
    <w:p w:rsidRPr="007B5E7A" w:rsidR="007B5E7A" w:rsidP="00BE7A52" w:rsidRDefault="000E7E7C" w14:paraId="50583679" w14:textId="1D8233D1">
      <w:pPr>
        <w:pStyle w:val="ListParagraph"/>
        <w:numPr>
          <w:ilvl w:val="0"/>
          <w:numId w:val="2"/>
        </w:numPr>
      </w:pPr>
      <w:r>
        <w:t xml:space="preserve">Equations </w:t>
      </w:r>
      <w:r w:rsidR="003F553E">
        <w:t xml:space="preserve">submitted as </w:t>
      </w:r>
      <w:r w:rsidR="00A10DC7">
        <w:t>La</w:t>
      </w:r>
      <w:r w:rsidR="002F00D6">
        <w:t>T</w:t>
      </w:r>
      <w:r w:rsidR="00A10DC7">
        <w:t>e</w:t>
      </w:r>
      <w:r w:rsidR="002F00D6">
        <w:t>X</w:t>
      </w:r>
      <w:r w:rsidR="00A10DC7">
        <w:t xml:space="preserve"> </w:t>
      </w:r>
      <w:r w:rsidR="002F00D6">
        <w:t>markup</w:t>
      </w:r>
      <w:r w:rsidR="009215B1">
        <w:t xml:space="preserve"> </w:t>
      </w:r>
      <w:r w:rsidR="00CF0ACB">
        <w:t xml:space="preserve">language </w:t>
      </w:r>
    </w:p>
    <w:p w:rsidR="00CE0449" w:rsidP="00C12052" w:rsidRDefault="0019029D" w14:paraId="3C3E8AFF" w14:textId="75245DC0">
      <w:pPr>
        <w:pStyle w:val="Heading2"/>
      </w:pPr>
      <w:r>
        <w:t>B</w:t>
      </w:r>
      <w:r w:rsidR="00CE0449">
        <w:t xml:space="preserve">. </w:t>
      </w:r>
      <w:r>
        <w:t>Inline and Display Equations</w:t>
      </w:r>
    </w:p>
    <w:p w:rsidRPr="00ED7938" w:rsidR="00ED7938" w:rsidP="00ED7938" w:rsidRDefault="00C860E9" w14:paraId="16C31979" w14:textId="34073B13">
      <w:r>
        <w:t xml:space="preserve">Simple </w:t>
      </w:r>
      <w:r w:rsidR="002B602D">
        <w:t xml:space="preserve">math </w:t>
      </w:r>
      <w:r w:rsidR="006374A2">
        <w:t>equations</w:t>
      </w:r>
      <w:r>
        <w:t xml:space="preserve"> can appear </w:t>
      </w:r>
      <w:r w:rsidR="00A5242D">
        <w:t>within the text as inline equations</w:t>
      </w:r>
      <w:r w:rsidR="00F310EF">
        <w:t>; however</w:t>
      </w:r>
      <w:r w:rsidR="002B602D">
        <w:t>,</w:t>
      </w:r>
      <w:r w:rsidR="00F310EF">
        <w:t xml:space="preserve"> if a</w:t>
      </w:r>
      <w:r w:rsidR="002B602D">
        <w:t>n</w:t>
      </w:r>
      <w:r w:rsidR="00F310EF">
        <w:t xml:space="preserve"> </w:t>
      </w:r>
      <w:r w:rsidR="002B602D">
        <w:t xml:space="preserve">equation </w:t>
      </w:r>
      <w:r w:rsidR="00F310EF">
        <w:t xml:space="preserve">is more complex it </w:t>
      </w:r>
      <w:r w:rsidR="00117110">
        <w:t xml:space="preserve">is best </w:t>
      </w:r>
      <w:r w:rsidR="00A5242D">
        <w:t>separated from</w:t>
      </w:r>
      <w:r w:rsidR="00FE5AEE">
        <w:t xml:space="preserve"> surrounding text and formatted as </w:t>
      </w:r>
      <w:r w:rsidR="00F47F79">
        <w:t xml:space="preserve">a </w:t>
      </w:r>
      <w:r w:rsidR="00FE5AEE">
        <w:t xml:space="preserve">display </w:t>
      </w:r>
      <w:r w:rsidR="002B602D">
        <w:t>equation</w:t>
      </w:r>
      <w:r w:rsidR="00FE5AEE">
        <w:t>.</w:t>
      </w:r>
    </w:p>
    <w:p w:rsidR="00013437" w:rsidP="00C12052" w:rsidRDefault="0019029D" w14:paraId="29C1275E" w14:textId="5DDB461D">
      <w:pPr>
        <w:pStyle w:val="Heading3"/>
      </w:pPr>
      <w:r>
        <w:t>i</w:t>
      </w:r>
      <w:r w:rsidR="00013437">
        <w:t xml:space="preserve">. Inline </w:t>
      </w:r>
      <w:r w:rsidR="00D6351D">
        <w:t>Equations</w:t>
      </w:r>
    </w:p>
    <w:p w:rsidR="00A166E3" w:rsidP="002F260A" w:rsidRDefault="002F260A" w14:paraId="373A6907" w14:textId="76AEC8D3">
      <w:r>
        <w:t xml:space="preserve">If </w:t>
      </w:r>
      <w:r w:rsidR="00D6351D">
        <w:t>an equation</w:t>
      </w:r>
      <w:r>
        <w:t xml:space="preserve"> </w:t>
      </w:r>
      <w:r w:rsidR="00802B18">
        <w:t>has a short length and appears on one line</w:t>
      </w:r>
      <w:r w:rsidR="00E140D7">
        <w:t xml:space="preserve"> text</w:t>
      </w:r>
      <w:r w:rsidR="00802B18">
        <w:t xml:space="preserve">, it is best </w:t>
      </w:r>
      <w:r w:rsidR="00E140D7">
        <w:t xml:space="preserve">formatted as an inline </w:t>
      </w:r>
      <w:r w:rsidR="00D6351D">
        <w:t>equation</w:t>
      </w:r>
      <w:r w:rsidR="00AF521C">
        <w:t xml:space="preserve">. </w:t>
      </w:r>
    </w:p>
    <w:p w:rsidR="002F260A" w:rsidP="002F260A" w:rsidRDefault="00D93285" w14:paraId="400A388C" w14:textId="439F3AB9">
      <w:r w:rsidR="00D93285">
        <w:rPr/>
        <w:t xml:space="preserve">Extremely simple </w:t>
      </w:r>
      <w:r w:rsidR="00D6351D">
        <w:rPr/>
        <w:t xml:space="preserve">equations </w:t>
      </w:r>
      <w:r w:rsidR="00386A8D">
        <w:rPr/>
        <w:t>(for example a single variable, or a short equation) can even be typed directly into</w:t>
      </w:r>
      <w:r w:rsidR="00410010">
        <w:rPr/>
        <w:t xml:space="preserve"> Microsoft Word</w:t>
      </w:r>
      <w:r w:rsidR="008F35B9">
        <w:rPr/>
        <w:t xml:space="preserve"> without the use of a</w:t>
      </w:r>
      <w:r w:rsidR="00D6351D">
        <w:rPr/>
        <w:t xml:space="preserve">n equation </w:t>
      </w:r>
      <w:r w:rsidR="00D525B3">
        <w:rPr/>
        <w:t xml:space="preserve">editor. </w:t>
      </w:r>
      <w:r w:rsidR="00A53151">
        <w:rPr/>
        <w:t xml:space="preserve">Latin script alphabet </w:t>
      </w:r>
      <w:r w:rsidR="00E61F6B">
        <w:rPr/>
        <w:t>variables</w:t>
      </w:r>
      <w:r w:rsidR="00A53151">
        <w:rPr/>
        <w:t xml:space="preserve"> </w:t>
      </w:r>
      <w:r w:rsidR="005C120C">
        <w:rPr/>
        <w:t xml:space="preserve">created in this manner </w:t>
      </w:r>
      <w:r w:rsidR="00A53151">
        <w:rPr/>
        <w:t xml:space="preserve">should be </w:t>
      </w:r>
      <w:r w:rsidRPr="36EBBB15" w:rsidR="00A53151">
        <w:rPr>
          <w:i w:val="1"/>
          <w:iCs w:val="1"/>
        </w:rPr>
        <w:t>italicized</w:t>
      </w:r>
      <w:r w:rsidR="00A53151">
        <w:rPr/>
        <w:t xml:space="preserve"> to</w:t>
      </w:r>
      <w:r w:rsidR="00FE4CA2">
        <w:rPr/>
        <w:t xml:space="preserve"> differentiate them from the surrounding text.</w:t>
      </w:r>
      <w:r w:rsidR="00FC10D9">
        <w:rPr/>
        <w:t xml:space="preserve"> Any punctuation that would normally follow an inline </w:t>
      </w:r>
      <w:r w:rsidR="00D6351D">
        <w:rPr/>
        <w:t xml:space="preserve">equation </w:t>
      </w:r>
      <w:r w:rsidR="00FC10D9">
        <w:rPr/>
        <w:t xml:space="preserve">should be </w:t>
      </w:r>
      <w:r w:rsidR="00982D38">
        <w:rPr/>
        <w:t xml:space="preserve">included within </w:t>
      </w:r>
      <w:r w:rsidR="00FC0AFD">
        <w:rPr/>
        <w:t xml:space="preserve">the </w:t>
      </w:r>
      <w:r w:rsidR="41591639">
        <w:rPr/>
        <w:t>equation,</w:t>
      </w:r>
      <w:r w:rsidR="00982D38">
        <w:rPr/>
        <w:t xml:space="preserve"> </w:t>
      </w:r>
      <w:r w:rsidR="00FC0AFD">
        <w:rPr/>
        <w:t xml:space="preserve">so it is not </w:t>
      </w:r>
      <w:r w:rsidR="00F13EE9">
        <w:rPr/>
        <w:t>separated</w:t>
      </w:r>
      <w:r w:rsidR="004C63B5">
        <w:rPr/>
        <w:t xml:space="preserve"> when the document is typeset.</w:t>
      </w:r>
    </w:p>
    <w:p w:rsidR="00F866D8" w:rsidP="005316F0" w:rsidRDefault="00F866D8" w14:paraId="6FA91539" w14:textId="4B8CBDB4">
      <w:pPr>
        <w:pStyle w:val="Heading4"/>
      </w:pPr>
      <w:r>
        <w:t>Examples</w:t>
      </w:r>
      <w:r w:rsidR="00E57517">
        <w:t xml:space="preserve"> (inline equations highlighted)</w:t>
      </w:r>
      <w:r w:rsidR="00792769">
        <w:t>:</w:t>
      </w:r>
    </w:p>
    <w:p w:rsidRPr="00B7469C" w:rsidR="00473FEE" w:rsidP="00A67743" w:rsidRDefault="00473FEE" w14:paraId="503947E4" w14:textId="3D65C07F">
      <w:pPr>
        <w:spacing w:line="240" w:lineRule="auto"/>
        <w:ind w:left="720" w:right="720"/>
        <w:jc w:val="both"/>
        <w:rPr>
          <w:rFonts w:ascii="Times New Roman" w:hAnsi="Times New Roman" w:cs="Times New Roman"/>
        </w:rPr>
      </w:pPr>
      <w:r w:rsidRPr="00B7469C">
        <w:rPr>
          <w:rFonts w:ascii="Times New Roman" w:hAnsi="Times New Roman" w:cs="Times New Roman"/>
        </w:rPr>
        <w:t xml:space="preserve">Where, </w:t>
      </w:r>
      <w:r w:rsidRPr="00B7469C">
        <w:rPr>
          <w:rFonts w:ascii="Times New Roman" w:hAnsi="Times New Roman" w:cs="Times New Roman"/>
          <w:i/>
          <w:highlight w:val="lightGray"/>
        </w:rPr>
        <w:t>C</w:t>
      </w:r>
      <w:r w:rsidRPr="00B7469C">
        <w:rPr>
          <w:rFonts w:ascii="Times New Roman" w:hAnsi="Times New Roman" w:cs="Times New Roman"/>
          <w:i/>
          <w:highlight w:val="lightGray"/>
          <w:vertAlign w:val="subscript"/>
        </w:rPr>
        <w:t>A</w:t>
      </w:r>
      <w:r w:rsidRPr="00B7469C">
        <w:rPr>
          <w:rFonts w:ascii="Times New Roman" w:hAnsi="Times New Roman" w:cs="Times New Roman"/>
          <w:highlight w:val="lightGray"/>
        </w:rPr>
        <w:t>(</w:t>
      </w:r>
      <w:r w:rsidRPr="00B7469C">
        <w:rPr>
          <w:rFonts w:ascii="Times New Roman" w:hAnsi="Times New Roman" w:cs="Times New Roman"/>
          <w:i/>
          <w:highlight w:val="lightGray"/>
        </w:rPr>
        <w:t>A</w:t>
      </w:r>
      <w:r w:rsidRPr="00B7469C">
        <w:rPr>
          <w:rFonts w:ascii="Times New Roman" w:hAnsi="Times New Roman" w:cs="Times New Roman"/>
          <w:highlight w:val="lightGray"/>
        </w:rPr>
        <w:t>)</w:t>
      </w:r>
      <w:r w:rsidRPr="00B7469C">
        <w:rPr>
          <w:rFonts w:ascii="Times New Roman" w:hAnsi="Times New Roman" w:cs="Times New Roman"/>
        </w:rPr>
        <w:t xml:space="preserve"> is the cost of authentication level </w:t>
      </w:r>
      <w:r w:rsidRPr="00B7469C">
        <w:rPr>
          <w:rFonts w:ascii="Times New Roman" w:hAnsi="Times New Roman" w:cs="Times New Roman"/>
          <w:i/>
          <w:highlight w:val="lightGray"/>
        </w:rPr>
        <w:t>A</w:t>
      </w:r>
      <w:r w:rsidRPr="00B7469C">
        <w:rPr>
          <w:rFonts w:ascii="Times New Roman" w:hAnsi="Times New Roman" w:cs="Times New Roman"/>
        </w:rPr>
        <w:t xml:space="preserve"> (higher authentication leads to higher administrative costs), </w:t>
      </w:r>
      <w:r w:rsidRPr="00B7469C">
        <w:rPr>
          <w:rFonts w:ascii="Times New Roman" w:hAnsi="Times New Roman" w:cs="Times New Roman"/>
          <w:i/>
          <w:highlight w:val="lightGray"/>
        </w:rPr>
        <w:t>C</w:t>
      </w:r>
      <w:r w:rsidRPr="00B7469C">
        <w:rPr>
          <w:rFonts w:ascii="Times New Roman" w:hAnsi="Times New Roman" w:cs="Times New Roman"/>
          <w:i/>
          <w:highlight w:val="lightGray"/>
          <w:vertAlign w:val="subscript"/>
        </w:rPr>
        <w:t>F</w:t>
      </w:r>
      <w:r w:rsidRPr="00B7469C">
        <w:rPr>
          <w:rFonts w:ascii="Times New Roman" w:hAnsi="Times New Roman" w:cs="Times New Roman"/>
          <w:highlight w:val="lightGray"/>
        </w:rPr>
        <w:t>(</w:t>
      </w:r>
      <w:r w:rsidRPr="00B7469C">
        <w:rPr>
          <w:rFonts w:ascii="Times New Roman" w:hAnsi="Times New Roman" w:cs="Times New Roman"/>
          <w:i/>
          <w:highlight w:val="lightGray"/>
        </w:rPr>
        <w:t>F</w:t>
      </w:r>
      <w:r w:rsidRPr="00B7469C">
        <w:rPr>
          <w:rFonts w:ascii="Times New Roman" w:hAnsi="Times New Roman" w:cs="Times New Roman"/>
          <w:highlight w:val="lightGray"/>
        </w:rPr>
        <w:t>)</w:t>
      </w:r>
      <w:r w:rsidRPr="00B7469C">
        <w:rPr>
          <w:rFonts w:ascii="Times New Roman" w:hAnsi="Times New Roman" w:cs="Times New Roman"/>
        </w:rPr>
        <w:t xml:space="preserve"> is the cost of fraud detection (increasing </w:t>
      </w:r>
      <w:r w:rsidRPr="00B7469C">
        <w:rPr>
          <w:rFonts w:ascii="Cambria Math" w:hAnsi="Cambria Math" w:cs="Times New Roman"/>
          <w:highlight w:val="lightGray"/>
        </w:rPr>
        <w:t>δ</w:t>
      </w:r>
      <w:r w:rsidRPr="00B7469C">
        <w:rPr>
          <w:rFonts w:ascii="Cambria Math" w:hAnsi="Cambria Math" w:cs="Times New Roman"/>
        </w:rPr>
        <w:t xml:space="preserve"> </w:t>
      </w:r>
      <w:r w:rsidRPr="00B7469C">
        <w:rPr>
          <w:rFonts w:ascii="Times New Roman" w:hAnsi="Times New Roman" w:cs="Times New Roman"/>
        </w:rPr>
        <w:t xml:space="preserve">requires more resources, such as sophisticated AI-assisted fraud detection systems), </w:t>
      </w:r>
      <w:r w:rsidRPr="00B7469C">
        <w:rPr>
          <w:rFonts w:ascii="Times New Roman" w:hAnsi="Times New Roman" w:cs="Times New Roman"/>
          <w:i/>
          <w:highlight w:val="lightGray"/>
        </w:rPr>
        <w:t>B</w:t>
      </w:r>
      <w:r w:rsidRPr="00B7469C">
        <w:rPr>
          <w:rFonts w:ascii="Times New Roman" w:hAnsi="Times New Roman" w:cs="Times New Roman"/>
          <w:i/>
          <w:highlight w:val="lightGray"/>
          <w:vertAlign w:val="subscript"/>
        </w:rPr>
        <w:t>T</w:t>
      </w:r>
      <w:r w:rsidRPr="00B7469C">
        <w:rPr>
          <w:rFonts w:ascii="Times New Roman" w:hAnsi="Times New Roman" w:cs="Times New Roman"/>
          <w:highlight w:val="lightGray"/>
        </w:rPr>
        <w:t>(</w:t>
      </w:r>
      <w:r w:rsidRPr="00B7469C">
        <w:rPr>
          <w:rFonts w:ascii="Times New Roman" w:hAnsi="Times New Roman" w:cs="Times New Roman"/>
          <w:i/>
          <w:highlight w:val="lightGray"/>
        </w:rPr>
        <w:t>T</w:t>
      </w:r>
      <w:r w:rsidRPr="00B7469C">
        <w:rPr>
          <w:rFonts w:ascii="Times New Roman" w:hAnsi="Times New Roman" w:cs="Times New Roman"/>
          <w:highlight w:val="lightGray"/>
        </w:rPr>
        <w:t>)</w:t>
      </w:r>
      <w:r w:rsidRPr="00B7469C">
        <w:rPr>
          <w:rFonts w:ascii="Times New Roman" w:hAnsi="Times New Roman" w:cs="Times New Roman"/>
        </w:rPr>
        <w:t xml:space="preserve"> is the benefit from correctly </w:t>
      </w:r>
      <w:r w:rsidRPr="00B7469C" w:rsidR="00106AF9">
        <w:rPr>
          <w:rFonts w:ascii="Times New Roman" w:hAnsi="Times New Roman" w:cs="Times New Roman"/>
        </w:rPr>
        <w:t>…</w:t>
      </w:r>
    </w:p>
    <w:p w:rsidR="00E72860" w:rsidP="00E72860" w:rsidRDefault="00E72860" w14:paraId="015A2C96" w14:textId="1C9A6CE9">
      <w:pPr>
        <w:rPr>
          <w:rStyle w:val="SubtleEmphasis"/>
        </w:rPr>
      </w:pPr>
      <w:r w:rsidRPr="00C072B5">
        <w:rPr>
          <w:rStyle w:val="SubtleEmphasis"/>
          <w:b/>
          <w:bCs/>
        </w:rPr>
        <w:t>Note:</w:t>
      </w:r>
      <w:r w:rsidRPr="00C072B5">
        <w:rPr>
          <w:rStyle w:val="SubtleEmphasis"/>
        </w:rPr>
        <w:t xml:space="preserve"> given their simplicity, the author opted to </w:t>
      </w:r>
      <w:r w:rsidR="004C51AA">
        <w:rPr>
          <w:rStyle w:val="SubtleEmphasis"/>
        </w:rPr>
        <w:t>type</w:t>
      </w:r>
      <w:r w:rsidRPr="00C072B5">
        <w:rPr>
          <w:rStyle w:val="SubtleEmphasis"/>
        </w:rPr>
        <w:t xml:space="preserve"> all inline equation</w:t>
      </w:r>
      <w:r w:rsidR="00A67743">
        <w:rPr>
          <w:rStyle w:val="SubtleEmphasis"/>
        </w:rPr>
        <w:t>s</w:t>
      </w:r>
      <w:r w:rsidRPr="00C072B5">
        <w:rPr>
          <w:rStyle w:val="SubtleEmphasis"/>
        </w:rPr>
        <w:t xml:space="preserve"> in the above</w:t>
      </w:r>
      <w:r w:rsidRPr="00C072B5" w:rsidR="00017305">
        <w:rPr>
          <w:rStyle w:val="SubtleEmphasis"/>
        </w:rPr>
        <w:t xml:space="preserve"> example directly in Microsoft Word without using an equation editor</w:t>
      </w:r>
      <w:r w:rsidRPr="00C072B5" w:rsidR="00C725BE">
        <w:rPr>
          <w:rStyle w:val="SubtleEmphasis"/>
        </w:rPr>
        <w:t xml:space="preserve">. The subscript was added through a </w:t>
      </w:r>
      <w:r w:rsidR="00A67743">
        <w:rPr>
          <w:rStyle w:val="SubtleEmphasis"/>
        </w:rPr>
        <w:t xml:space="preserve">standard </w:t>
      </w:r>
      <w:r w:rsidRPr="00C072B5" w:rsidR="00C725BE">
        <w:rPr>
          <w:rStyle w:val="SubtleEmphasis"/>
        </w:rPr>
        <w:t>font option.</w:t>
      </w:r>
    </w:p>
    <w:p w:rsidRPr="00367A36" w:rsidR="005978A5" w:rsidP="00367A36" w:rsidRDefault="00895B46" w14:paraId="480AA34B" w14:textId="6DEA23FF">
      <w:pPr>
        <w:spacing w:line="240" w:lineRule="auto"/>
        <w:jc w:val="both"/>
      </w:pPr>
      <w:r>
        <w:rPr>
          <w:noProof/>
        </w:rPr>
        <w:drawing>
          <wp:inline distT="0" distB="0" distL="0" distR="0" wp14:anchorId="4A73F1CF" wp14:editId="2742738C">
            <wp:extent cx="5914286" cy="1095238"/>
            <wp:effectExtent l="0" t="0" r="0" b="0"/>
            <wp:docPr id="357770273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70273" name="Picture 2" descr="A black text on a white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286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072B5" w:rsidR="00832395" w:rsidP="00E72860" w:rsidRDefault="005978A5" w14:paraId="2817C058" w14:textId="545C230B">
      <w:pPr>
        <w:rPr>
          <w:rStyle w:val="SubtleEmphasis"/>
        </w:rPr>
      </w:pPr>
      <w:r w:rsidRPr="002F6175">
        <w:rPr>
          <w:rStyle w:val="SubtleEmphasis"/>
          <w:b/>
        </w:rPr>
        <w:t>Note:</w:t>
      </w:r>
      <w:r>
        <w:rPr>
          <w:rStyle w:val="SubtleEmphasis"/>
        </w:rPr>
        <w:t xml:space="preserve"> </w:t>
      </w:r>
      <w:r w:rsidR="00752252">
        <w:rPr>
          <w:rStyle w:val="SubtleEmphasis"/>
        </w:rPr>
        <w:t>in the above example, all inline equations were written using Mathtype</w:t>
      </w:r>
      <w:r w:rsidR="008555BD">
        <w:rPr>
          <w:rStyle w:val="SubtleEmphasis"/>
        </w:rPr>
        <w:t xml:space="preserve">. </w:t>
      </w:r>
      <w:r w:rsidR="00FF3096">
        <w:rPr>
          <w:rStyle w:val="SubtleEmphasis"/>
        </w:rPr>
        <w:t xml:space="preserve">The </w:t>
      </w:r>
      <w:r w:rsidR="003B7F4A">
        <w:rPr>
          <w:rStyle w:val="SubtleEmphasis"/>
        </w:rPr>
        <w:t>punctuation (</w:t>
      </w:r>
      <w:r w:rsidR="002D0C30">
        <w:rPr>
          <w:rStyle w:val="SubtleEmphasis"/>
        </w:rPr>
        <w:t>brackets</w:t>
      </w:r>
      <w:r w:rsidR="003B7F4A">
        <w:rPr>
          <w:rStyle w:val="SubtleEmphasis"/>
        </w:rPr>
        <w:t>, commas, end stops</w:t>
      </w:r>
      <w:r w:rsidR="002D0C30">
        <w:rPr>
          <w:rStyle w:val="SubtleEmphasis"/>
        </w:rPr>
        <w:t>, etc.</w:t>
      </w:r>
      <w:r w:rsidR="003B7F4A">
        <w:rPr>
          <w:rStyle w:val="SubtleEmphasis"/>
        </w:rPr>
        <w:t xml:space="preserve">) are </w:t>
      </w:r>
      <w:r w:rsidR="009A31B9">
        <w:rPr>
          <w:rStyle w:val="SubtleEmphasis"/>
        </w:rPr>
        <w:t xml:space="preserve">all </w:t>
      </w:r>
      <w:r w:rsidR="003B7F4A">
        <w:rPr>
          <w:rStyle w:val="SubtleEmphasis"/>
        </w:rPr>
        <w:t>included within</w:t>
      </w:r>
      <w:r w:rsidR="006730E2">
        <w:rPr>
          <w:rStyle w:val="SubtleEmphasis"/>
        </w:rPr>
        <w:t xml:space="preserve"> the </w:t>
      </w:r>
      <w:r w:rsidR="0039200F">
        <w:rPr>
          <w:rStyle w:val="SubtleEmphasis"/>
        </w:rPr>
        <w:t xml:space="preserve">inline equation </w:t>
      </w:r>
      <w:r w:rsidR="006730E2">
        <w:rPr>
          <w:rStyle w:val="SubtleEmphasis"/>
        </w:rPr>
        <w:t>so they</w:t>
      </w:r>
      <w:r w:rsidR="002F6175">
        <w:rPr>
          <w:rStyle w:val="SubtleEmphasis"/>
        </w:rPr>
        <w:t xml:space="preserve"> will not be incorrectly separated in later versions of the document.</w:t>
      </w:r>
      <w:r w:rsidR="005C429C">
        <w:rPr>
          <w:rStyle w:val="SubtleEmphasis"/>
        </w:rPr>
        <w:t xml:space="preserve"> </w:t>
      </w:r>
    </w:p>
    <w:p w:rsidR="00013437" w:rsidP="00C12052" w:rsidRDefault="0019029D" w14:paraId="726CDE47" w14:textId="757162B0">
      <w:pPr>
        <w:pStyle w:val="Heading3"/>
      </w:pPr>
      <w:r>
        <w:t>ii</w:t>
      </w:r>
      <w:r w:rsidR="00013437">
        <w:t xml:space="preserve">. </w:t>
      </w:r>
      <w:r w:rsidR="00BC22C4">
        <w:t xml:space="preserve">Display </w:t>
      </w:r>
      <w:r w:rsidR="00E9667E">
        <w:t>Equation</w:t>
      </w:r>
      <w:r w:rsidR="00C12052">
        <w:t>s</w:t>
      </w:r>
    </w:p>
    <w:p w:rsidR="000322AB" w:rsidP="000322AB" w:rsidRDefault="00E9667E" w14:paraId="459F6D91" w14:textId="6F5B3ED6" w14:noSpellErr="1">
      <w:r w:rsidR="00E9667E">
        <w:rPr/>
        <w:t xml:space="preserve">Equations </w:t>
      </w:r>
      <w:r w:rsidR="00BA45AE">
        <w:rPr/>
        <w:t>that have</w:t>
      </w:r>
      <w:r w:rsidR="000322AB">
        <w:rPr/>
        <w:t xml:space="preserve"> a longer length and/or span multiple lines of text</w:t>
      </w:r>
      <w:r w:rsidR="00BA45AE">
        <w:rPr/>
        <w:t xml:space="preserve"> should be </w:t>
      </w:r>
      <w:r w:rsidR="003F40F1">
        <w:rPr/>
        <w:t xml:space="preserve">arranged as a display </w:t>
      </w:r>
      <w:r w:rsidR="00E9667E">
        <w:rPr/>
        <w:t>equation</w:t>
      </w:r>
      <w:r w:rsidR="003F40F1">
        <w:rPr/>
        <w:t xml:space="preserve">. </w:t>
      </w:r>
      <w:r w:rsidR="00891945">
        <w:rPr/>
        <w:t xml:space="preserve">Display </w:t>
      </w:r>
      <w:r w:rsidR="00E9667E">
        <w:rPr/>
        <w:t xml:space="preserve">equations </w:t>
      </w:r>
      <w:r w:rsidR="004D482B">
        <w:rPr/>
        <w:t xml:space="preserve">start on a new line </w:t>
      </w:r>
      <w:r w:rsidR="005457B9">
        <w:rPr/>
        <w:t xml:space="preserve">to </w:t>
      </w:r>
      <w:r w:rsidR="004D482B">
        <w:rPr/>
        <w:t xml:space="preserve">separating </w:t>
      </w:r>
      <w:r w:rsidR="005457B9">
        <w:rPr/>
        <w:t xml:space="preserve">them </w:t>
      </w:r>
      <w:r w:rsidR="004D482B">
        <w:rPr/>
        <w:t>from the preceding text</w:t>
      </w:r>
      <w:r w:rsidR="005457B9">
        <w:rPr/>
        <w:t xml:space="preserve"> and are </w:t>
      </w:r>
      <w:r w:rsidR="00234368">
        <w:rPr/>
        <w:t>labeled</w:t>
      </w:r>
      <w:r w:rsidR="005457B9">
        <w:rPr/>
        <w:t xml:space="preserve"> </w:t>
      </w:r>
      <w:r w:rsidR="00234368">
        <w:rPr/>
        <w:t xml:space="preserve">with </w:t>
      </w:r>
      <w:r w:rsidR="005457B9">
        <w:rPr/>
        <w:t xml:space="preserve">a number in parentheses </w:t>
      </w:r>
      <w:r w:rsidR="00F24A6F">
        <w:rPr/>
        <w:t>separated by a tab</w:t>
      </w:r>
      <w:r w:rsidR="003B703C">
        <w:rPr/>
        <w:t xml:space="preserve"> </w:t>
      </w:r>
      <w:r w:rsidR="00F8619F">
        <w:rPr/>
        <w:t xml:space="preserve">positioned to the </w:t>
      </w:r>
      <w:r w:rsidR="003B703C">
        <w:rPr/>
        <w:t xml:space="preserve">right </w:t>
      </w:r>
      <w:r w:rsidR="00F8619F">
        <w:rPr/>
        <w:t>of the equation</w:t>
      </w:r>
      <w:r w:rsidR="003B703C">
        <w:rPr/>
        <w:t>.</w:t>
      </w:r>
      <w:r w:rsidR="004E4DA7">
        <w:rPr/>
        <w:t xml:space="preserve"> The Display equation label </w:t>
      </w:r>
      <w:r w:rsidRPr="36EBBB15" w:rsidR="004E4DA7">
        <w:rPr>
          <w:b w:val="1"/>
          <w:bCs w:val="1"/>
          <w:u w:val="single"/>
        </w:rPr>
        <w:t>should not</w:t>
      </w:r>
      <w:r w:rsidR="004E4DA7">
        <w:rPr/>
        <w:t xml:space="preserve"> be </w:t>
      </w:r>
      <w:r w:rsidR="00D81647">
        <w:rPr/>
        <w:t xml:space="preserve">included within </w:t>
      </w:r>
      <w:r w:rsidR="004E4DA7">
        <w:rPr/>
        <w:t>the equation file</w:t>
      </w:r>
      <w:r w:rsidR="00581E43">
        <w:rPr/>
        <w:t xml:space="preserve"> and should not be separated by any </w:t>
      </w:r>
      <w:r w:rsidR="004352C2">
        <w:rPr/>
        <w:t xml:space="preserve">other </w:t>
      </w:r>
      <w:r w:rsidR="00581E43">
        <w:rPr/>
        <w:t>characters (</w:t>
      </w:r>
      <w:r w:rsidR="004352C2">
        <w:rPr/>
        <w:t>ellipses</w:t>
      </w:r>
      <w:r w:rsidR="00581E43">
        <w:rPr/>
        <w:t>, dashes, etc.)</w:t>
      </w:r>
      <w:r w:rsidR="004E4DA7">
        <w:rPr/>
        <w:t>.</w:t>
      </w:r>
      <w:r w:rsidR="00A76F50">
        <w:rPr/>
        <w:t xml:space="preserve"> </w:t>
      </w:r>
      <w:r w:rsidR="00B33A95">
        <w:rPr/>
        <w:t xml:space="preserve">All </w:t>
      </w:r>
      <w:r w:rsidR="00213093">
        <w:rPr/>
        <w:t xml:space="preserve">display </w:t>
      </w:r>
      <w:r w:rsidR="00762864">
        <w:rPr/>
        <w:t xml:space="preserve">equations </w:t>
      </w:r>
      <w:r w:rsidR="00213093">
        <w:rPr/>
        <w:t>should be numbered sequentially throughout the entire</w:t>
      </w:r>
      <w:r w:rsidR="008613D2">
        <w:rPr/>
        <w:t xml:space="preserve"> document (</w:t>
      </w:r>
      <w:r w:rsidR="00A12EEE">
        <w:rPr/>
        <w:t xml:space="preserve">including any </w:t>
      </w:r>
      <w:r w:rsidR="008613D2">
        <w:rPr/>
        <w:t>appendices</w:t>
      </w:r>
      <w:r w:rsidR="00A12EEE">
        <w:rPr/>
        <w:t xml:space="preserve"> at the end of the document</w:t>
      </w:r>
      <w:r w:rsidR="008613D2">
        <w:rPr/>
        <w:t>).</w:t>
      </w:r>
      <w:r w:rsidR="008D2611">
        <w:rPr/>
        <w:t xml:space="preserve"> </w:t>
      </w:r>
    </w:p>
    <w:p w:rsidR="00387F28" w:rsidP="000322AB" w:rsidRDefault="00387F28" w14:paraId="34164390" w14:textId="0D5CFD1D">
      <w:r>
        <w:t xml:space="preserve">Display equations should be </w:t>
      </w:r>
      <w:r w:rsidR="009D03CA">
        <w:t>written</w:t>
      </w:r>
      <w:r>
        <w:t xml:space="preserve"> in their entirely using an equation editor. </w:t>
      </w:r>
      <w:r w:rsidR="004B7FC1">
        <w:t xml:space="preserve">In later versions of the document, </w:t>
      </w:r>
      <w:r w:rsidR="00E23DCE">
        <w:t>display equations will break over multiple lines in unintended ways</w:t>
      </w:r>
      <w:r w:rsidR="000E2740">
        <w:t xml:space="preserve"> if they are written in a combination of “regular” text and equation editor files.</w:t>
      </w:r>
    </w:p>
    <w:p w:rsidR="00663A63" w:rsidP="00663A63" w:rsidRDefault="00663A63" w14:paraId="7E02F109" w14:textId="4FA2B3D7">
      <w:pPr>
        <w:pStyle w:val="Heading4"/>
      </w:pPr>
      <w:r>
        <w:lastRenderedPageBreak/>
        <w:t>Example:</w:t>
      </w:r>
    </w:p>
    <w:p w:rsidR="00460625" w:rsidP="000322AB" w:rsidRDefault="00663A63" w14:paraId="5F38EA09" w14:textId="0F23DC56">
      <w:r>
        <w:rPr>
          <w:noProof/>
        </w:rPr>
        <w:drawing>
          <wp:inline distT="0" distB="0" distL="0" distR="0" wp14:anchorId="6DC8869D" wp14:editId="045D7039">
            <wp:extent cx="5943600" cy="1800860"/>
            <wp:effectExtent l="0" t="0" r="0" b="8890"/>
            <wp:docPr id="1933341790" name="Picture 3" descr="A black and white text with black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41790" name="Picture 3" descr="A black and white text with black symbol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A63" w:rsidP="000322AB" w:rsidRDefault="00663A63" w14:paraId="1453D87F" w14:textId="5F3E5054">
      <w:pPr>
        <w:rPr>
          <w:rStyle w:val="SubtleEmphasis"/>
        </w:rPr>
      </w:pPr>
      <w:r w:rsidRPr="00732678">
        <w:rPr>
          <w:rStyle w:val="SubtleEmphasis"/>
          <w:b/>
          <w:bCs/>
        </w:rPr>
        <w:t>Note:</w:t>
      </w:r>
      <w:r w:rsidRPr="00732678">
        <w:rPr>
          <w:rStyle w:val="SubtleEmphasis"/>
        </w:rPr>
        <w:t xml:space="preserve"> </w:t>
      </w:r>
      <w:r w:rsidRPr="00732678" w:rsidR="00A96C95">
        <w:rPr>
          <w:rStyle w:val="SubtleEmphasis"/>
        </w:rPr>
        <w:t>Two complex equations formatted as display equations</w:t>
      </w:r>
      <w:r w:rsidR="005B4E47">
        <w:rPr>
          <w:rStyle w:val="SubtleEmphasis"/>
        </w:rPr>
        <w:t xml:space="preserve"> (written in Mathtype)</w:t>
      </w:r>
      <w:r w:rsidRPr="00732678" w:rsidR="005F1F8A">
        <w:rPr>
          <w:rStyle w:val="SubtleEmphasis"/>
        </w:rPr>
        <w:t>. The labels [(4) and (5)] are separated from the equations by a tab</w:t>
      </w:r>
      <w:r w:rsidRPr="00732678" w:rsidR="00732678">
        <w:rPr>
          <w:rStyle w:val="SubtleEmphasis"/>
        </w:rPr>
        <w:t xml:space="preserve"> (denoted here by an arrow symbol)</w:t>
      </w:r>
    </w:p>
    <w:p w:rsidR="008C624E" w:rsidP="000322AB" w:rsidRDefault="005B2648" w14:paraId="46135FD7" w14:textId="64510E8C">
      <w:pPr>
        <w:rPr>
          <w:rStyle w:val="SubtleEmphasis"/>
        </w:rPr>
      </w:pPr>
      <w:r>
        <w:rPr>
          <w:i/>
          <w:iCs/>
          <w:noProof/>
          <w:color w:val="404040" w:themeColor="text1" w:themeTint="BF"/>
        </w:rPr>
        <w:drawing>
          <wp:inline distT="0" distB="0" distL="0" distR="0" wp14:anchorId="14A7F8C0" wp14:editId="1C798CB5">
            <wp:extent cx="3953427" cy="2257740"/>
            <wp:effectExtent l="0" t="0" r="9525" b="9525"/>
            <wp:docPr id="240493431" name="Picture 4" descr="A group of equations on a gre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93431" name="Picture 4" descr="A group of equations on a grey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B2648" w:rsidR="005B2648" w:rsidP="000322AB" w:rsidRDefault="005B2648" w14:paraId="6D28E1EC" w14:textId="28B10683">
      <w:pPr>
        <w:rPr>
          <w:rStyle w:val="SubtleEmphasis"/>
        </w:rPr>
      </w:pPr>
      <w:r w:rsidRPr="000F53F0">
        <w:rPr>
          <w:rStyle w:val="SubtleEmphasis"/>
          <w:b/>
          <w:bCs/>
        </w:rPr>
        <w:t>Note:</w:t>
      </w:r>
      <w:r>
        <w:rPr>
          <w:rStyle w:val="SubtleEmphasis"/>
        </w:rPr>
        <w:t xml:space="preserve"> </w:t>
      </w:r>
      <w:r w:rsidR="000F53F0">
        <w:rPr>
          <w:rStyle w:val="SubtleEmphasis"/>
        </w:rPr>
        <w:t xml:space="preserve">The </w:t>
      </w:r>
      <w:r w:rsidR="00C42E62">
        <w:rPr>
          <w:rStyle w:val="SubtleEmphasis"/>
        </w:rPr>
        <w:t xml:space="preserve">first </w:t>
      </w:r>
      <w:r w:rsidR="00C61567">
        <w:rPr>
          <w:rStyle w:val="SubtleEmphasis"/>
        </w:rPr>
        <w:t xml:space="preserve">display </w:t>
      </w:r>
      <w:r w:rsidR="00C42E62">
        <w:rPr>
          <w:rStyle w:val="SubtleEmphasis"/>
        </w:rPr>
        <w:t xml:space="preserve">equation above is written </w:t>
      </w:r>
      <w:r w:rsidR="00E70944">
        <w:rPr>
          <w:rStyle w:val="SubtleEmphasis"/>
        </w:rPr>
        <w:t xml:space="preserve">as </w:t>
      </w:r>
      <w:r w:rsidR="00C42E62">
        <w:rPr>
          <w:rStyle w:val="SubtleEmphasis"/>
        </w:rPr>
        <w:t xml:space="preserve">two </w:t>
      </w:r>
      <w:r w:rsidR="00E70944">
        <w:rPr>
          <w:rStyle w:val="SubtleEmphasis"/>
        </w:rPr>
        <w:t xml:space="preserve">separate </w:t>
      </w:r>
      <w:r w:rsidR="00C42E62">
        <w:rPr>
          <w:rStyle w:val="SubtleEmphasis"/>
        </w:rPr>
        <w:t>Mathtype files</w:t>
      </w:r>
      <w:r w:rsidR="00F4609D">
        <w:rPr>
          <w:rStyle w:val="SubtleEmphasis"/>
        </w:rPr>
        <w:t>. In later versions of the document it will break into two lines at the equals sign (=)</w:t>
      </w:r>
      <w:r w:rsidR="000F53F0">
        <w:rPr>
          <w:rStyle w:val="SubtleEmphasis"/>
        </w:rPr>
        <w:t>,</w:t>
      </w:r>
      <w:r w:rsidR="00F4609D">
        <w:rPr>
          <w:rStyle w:val="SubtleEmphasis"/>
        </w:rPr>
        <w:t xml:space="preserve"> which isn’t what the author intended. The </w:t>
      </w:r>
      <w:r w:rsidR="00C61567">
        <w:rPr>
          <w:rStyle w:val="SubtleEmphasis"/>
        </w:rPr>
        <w:t xml:space="preserve">example below is the same display equation correctly </w:t>
      </w:r>
      <w:r w:rsidR="000F53F0">
        <w:rPr>
          <w:rStyle w:val="SubtleEmphasis"/>
        </w:rPr>
        <w:t>written</w:t>
      </w:r>
      <w:r w:rsidR="00C61567">
        <w:rPr>
          <w:rStyle w:val="SubtleEmphasis"/>
        </w:rPr>
        <w:t xml:space="preserve">. It will maintain </w:t>
      </w:r>
      <w:r w:rsidR="0058149B">
        <w:rPr>
          <w:rStyle w:val="SubtleEmphasis"/>
        </w:rPr>
        <w:t>its intended</w:t>
      </w:r>
      <w:r w:rsidR="00C61567">
        <w:rPr>
          <w:rStyle w:val="SubtleEmphasis"/>
        </w:rPr>
        <w:t xml:space="preserve"> layout in later versions of the document.</w:t>
      </w:r>
    </w:p>
    <w:p w:rsidR="00BC22C4" w:rsidP="00C12052" w:rsidRDefault="00C12052" w14:paraId="2E3790F7" w14:textId="08A3BDA0">
      <w:pPr>
        <w:pStyle w:val="Heading2"/>
      </w:pPr>
      <w:r>
        <w:t>C</w:t>
      </w:r>
      <w:r w:rsidR="00BC22C4">
        <w:t xml:space="preserve">. </w:t>
      </w:r>
      <w:r w:rsidR="00AB2120">
        <w:t>Fonts</w:t>
      </w:r>
    </w:p>
    <w:p w:rsidR="00512304" w:rsidP="00512304" w:rsidRDefault="00512304" w14:paraId="4DD450BB" w14:textId="0D95F426">
      <w:r>
        <w:t>All equations will be subject to processing by our content management system</w:t>
      </w:r>
      <w:r w:rsidR="00705B12">
        <w:t xml:space="preserve"> throughout the course of</w:t>
      </w:r>
      <w:r w:rsidR="00346AAD">
        <w:t xml:space="preserve"> the </w:t>
      </w:r>
      <w:r w:rsidR="00D82D6E">
        <w:t>P</w:t>
      </w:r>
      <w:r w:rsidR="00346AAD">
        <w:t xml:space="preserve">roduction </w:t>
      </w:r>
      <w:r w:rsidR="00D82D6E">
        <w:t>phase</w:t>
      </w:r>
      <w:r w:rsidR="00346AAD">
        <w:t xml:space="preserve">. </w:t>
      </w:r>
      <w:r w:rsidR="008A5CCA">
        <w:t>A critical component of this processing involves converting the equations to MathML</w:t>
      </w:r>
      <w:r w:rsidR="00741305">
        <w:t xml:space="preserve"> (</w:t>
      </w:r>
      <w:r w:rsidR="00B3333D">
        <w:t xml:space="preserve">a specialized </w:t>
      </w:r>
      <w:r w:rsidR="00741305">
        <w:t xml:space="preserve">markup language) to be </w:t>
      </w:r>
      <w:r w:rsidR="0022097F">
        <w:t xml:space="preserve">interpreted by later systems in the process. </w:t>
      </w:r>
      <w:r w:rsidR="00AC59A2">
        <w:t xml:space="preserve">Later templates will automatically interpret </w:t>
      </w:r>
      <w:r w:rsidR="00021993">
        <w:t xml:space="preserve">the MathML </w:t>
      </w:r>
      <w:r w:rsidR="00AC59A2">
        <w:t>us</w:t>
      </w:r>
      <w:r w:rsidR="00021993">
        <w:t>ing</w:t>
      </w:r>
      <w:r w:rsidR="00AC59A2">
        <w:t xml:space="preserve"> pre-defined font</w:t>
      </w:r>
      <w:r w:rsidR="00331360">
        <w:t>s</w:t>
      </w:r>
      <w:r w:rsidR="00021993">
        <w:t xml:space="preserve"> and styling. Because of this, u</w:t>
      </w:r>
      <w:r w:rsidR="00FE784A">
        <w:t>nique fonts for variable</w:t>
      </w:r>
      <w:r w:rsidR="00A54784">
        <w:t>s</w:t>
      </w:r>
      <w:r w:rsidR="00FE784A">
        <w:t xml:space="preserve"> should be used sparingly</w:t>
      </w:r>
      <w:r w:rsidR="00030AC3">
        <w:t xml:space="preserve"> and should be limited to </w:t>
      </w:r>
      <w:proofErr w:type="spellStart"/>
      <w:r w:rsidR="00E779F2">
        <w:t>Truetype</w:t>
      </w:r>
      <w:proofErr w:type="spellEnd"/>
      <w:r w:rsidR="00E779F2">
        <w:t xml:space="preserve"> typefaces.</w:t>
      </w:r>
      <w:r w:rsidR="00BB3905">
        <w:t xml:space="preserve"> </w:t>
      </w:r>
      <w:r w:rsidR="00521255">
        <w:t>If</w:t>
      </w:r>
      <w:r w:rsidR="003F62EF">
        <w:t xml:space="preserve"> an incompatible font is used, we </w:t>
      </w:r>
      <w:r w:rsidR="003F62EF">
        <w:lastRenderedPageBreak/>
        <w:t xml:space="preserve">will </w:t>
      </w:r>
      <w:r w:rsidR="00C32011">
        <w:t>subst</w:t>
      </w:r>
      <w:r w:rsidR="003F62EF">
        <w:t>it</w:t>
      </w:r>
      <w:r w:rsidR="00C32011">
        <w:t>ute</w:t>
      </w:r>
      <w:r w:rsidR="003F62EF">
        <w:t xml:space="preserve"> </w:t>
      </w:r>
      <w:r w:rsidR="00C32011">
        <w:t xml:space="preserve">with </w:t>
      </w:r>
      <w:r w:rsidR="000B23ED">
        <w:t>a similar</w:t>
      </w:r>
      <w:r w:rsidR="003F62EF">
        <w:t xml:space="preserve"> </w:t>
      </w:r>
      <w:r w:rsidR="00C32011">
        <w:t>compatible font</w:t>
      </w:r>
      <w:r w:rsidR="000801B2">
        <w:t xml:space="preserve"> to ensure it is readable in the final versions of the document.</w:t>
      </w:r>
    </w:p>
    <w:p w:rsidR="00F932DA" w:rsidP="00F932DA" w:rsidRDefault="00F932DA" w14:paraId="5BFF7836" w14:textId="773049A8">
      <w:pPr>
        <w:pStyle w:val="Heading1"/>
      </w:pPr>
      <w:r>
        <w:t>2. PSEUDOCODE</w:t>
      </w:r>
    </w:p>
    <w:p w:rsidR="00F932DA" w:rsidP="00512304" w:rsidRDefault="00845FB1" w14:paraId="53D82079" w14:textId="1A5B9156">
      <w:r>
        <w:t xml:space="preserve">Pseudocode should be written using the </w:t>
      </w:r>
      <w:r w:rsidRPr="00845FB1">
        <w:rPr>
          <w:rFonts w:ascii="Courier New" w:hAnsi="Courier New" w:cs="Courier New"/>
        </w:rPr>
        <w:t>Courier New Font</w:t>
      </w:r>
      <w:r w:rsidRPr="002F11FC" w:rsidR="002F11FC">
        <w:t xml:space="preserve"> and</w:t>
      </w:r>
      <w:r w:rsidR="002F11FC">
        <w:t xml:space="preserve"> indented </w:t>
      </w:r>
      <w:r w:rsidR="00CB562D">
        <w:t xml:space="preserve">using tabs </w:t>
      </w:r>
      <w:r w:rsidR="002F11FC">
        <w:t>as needed.</w:t>
      </w:r>
      <w:r w:rsidR="00EC1F58">
        <w:t xml:space="preserve"> </w:t>
      </w:r>
      <w:r w:rsidR="00D21C94">
        <w:t>To</w:t>
      </w:r>
      <w:r w:rsidR="00EC1F58">
        <w:t xml:space="preserve"> </w:t>
      </w:r>
      <w:r w:rsidR="000D5E76">
        <w:t xml:space="preserve">correctly </w:t>
      </w:r>
      <w:r w:rsidR="00EC1F58">
        <w:t xml:space="preserve">appear within later versions of the </w:t>
      </w:r>
      <w:r w:rsidR="00B036F7">
        <w:t>document, pseudocode should never be placed in separate text box</w:t>
      </w:r>
      <w:r w:rsidR="000D5E76">
        <w:t>es</w:t>
      </w:r>
      <w:r w:rsidR="00B036F7">
        <w:t xml:space="preserve"> or table</w:t>
      </w:r>
      <w:r w:rsidR="000D5E76">
        <w:t>s</w:t>
      </w:r>
      <w:r w:rsidR="00B036F7">
        <w:t>.</w:t>
      </w:r>
    </w:p>
    <w:p w:rsidR="0027054D" w:rsidP="003C33D7" w:rsidRDefault="0027054D" w14:paraId="7D983D6D" w14:textId="2832B9F6">
      <w:pPr>
        <w:pStyle w:val="Heading4"/>
      </w:pPr>
      <w:r>
        <w:t>Example:</w:t>
      </w:r>
    </w:p>
    <w:p w:rsidRPr="0027054D" w:rsidR="003D7CFE" w:rsidP="003D7CFE" w:rsidRDefault="003D7CFE" w14:paraId="487FFBA1" w14:textId="77777777">
      <w:pPr>
        <w:pStyle w:val="paragraph"/>
        <w:spacing w:before="0" w:beforeAutospacing="0" w:after="0" w:afterAutospacing="0"/>
        <w:ind w:left="870" w:right="2445" w:hanging="510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 xml:space="preserve">&lt;XDM:DATA-ITEM Name=“Rules” Version=“1” Virtual=“NO” Date=“...” </w:t>
      </w:r>
      <w:proofErr w:type="spellStart"/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xmlns:XDM</w:t>
      </w:r>
      <w:proofErr w:type="spellEnd"/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=“http://.../NS/XDM”&gt;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70E53D55" w14:textId="77777777">
      <w:pPr>
        <w:pStyle w:val="paragraph"/>
        <w:spacing w:before="0" w:beforeAutospacing="0" w:after="0" w:afterAutospacing="0"/>
        <w:ind w:left="405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&lt;XDM:DERIVATION Statement=“00128”/&gt;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256ECAA9" w14:textId="77777777">
      <w:pPr>
        <w:pStyle w:val="paragraph"/>
        <w:spacing w:before="0" w:beforeAutospacing="0" w:after="0" w:afterAutospacing="0"/>
        <w:ind w:left="405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&lt;XDM:CONTENT&gt;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266174B6" w14:textId="77777777">
      <w:pPr>
        <w:pStyle w:val="paragraph"/>
        <w:spacing w:before="0" w:beforeAutospacing="0" w:after="0" w:afterAutospacing="0"/>
        <w:ind w:left="585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&lt;AR:ASSOCIATION-RULE-SET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03C73041" w14:textId="77777777">
      <w:pPr>
        <w:pStyle w:val="paragraph"/>
        <w:spacing w:before="0" w:beforeAutospacing="0" w:after="0" w:afterAutospacing="0"/>
        <w:ind w:left="825"/>
        <w:textAlignment w:val="baseline"/>
        <w:rPr>
          <w:rFonts w:ascii="Courier New" w:hAnsi="Courier New" w:cs="Courier New"/>
          <w:sz w:val="22"/>
          <w:szCs w:val="22"/>
        </w:rPr>
      </w:pPr>
      <w:proofErr w:type="spellStart"/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xmlns:AR</w:t>
      </w:r>
      <w:proofErr w:type="spellEnd"/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=“http://...NS/DATA/</w:t>
      </w:r>
      <w:proofErr w:type="spellStart"/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AssRules</w:t>
      </w:r>
      <w:proofErr w:type="spellEnd"/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”&gt;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0B92E1B1" w14:textId="77777777">
      <w:pPr>
        <w:pStyle w:val="paragraph"/>
        <w:spacing w:before="0" w:beforeAutospacing="0" w:after="0" w:afterAutospacing="0"/>
        <w:ind w:left="915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&lt;AR:RULE&gt;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1CE8FFFF" w14:textId="77777777">
      <w:pPr>
        <w:pStyle w:val="paragraph"/>
        <w:spacing w:before="0" w:beforeAutospacing="0" w:after="0" w:afterAutospacing="0"/>
        <w:ind w:left="1110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&lt;AR:BODY&gt;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31B1920F" w14:textId="77777777">
      <w:pPr>
        <w:pStyle w:val="paragraph"/>
        <w:spacing w:before="0" w:beforeAutospacing="0" w:after="0" w:afterAutospacing="0"/>
        <w:ind w:left="1350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&lt;AR:ELEMENT Name=“ITEM”&gt; A &lt;/AR:ELEMENT&gt;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043D1AAD" w14:textId="77777777">
      <w:pPr>
        <w:pStyle w:val="paragraph"/>
        <w:spacing w:before="0" w:beforeAutospacing="0" w:after="0" w:afterAutospacing="0"/>
        <w:ind w:left="1350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&lt;AR:ELEMENT Name=“ITEM”&gt; C &lt;/AR:ELEMENT&gt;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37350E6E" w14:textId="77777777">
      <w:pPr>
        <w:pStyle w:val="paragraph"/>
        <w:spacing w:before="0" w:beforeAutospacing="0" w:after="0" w:afterAutospacing="0"/>
        <w:ind w:left="1110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&lt;/AR:BODY&gt;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0977528E" w14:textId="77777777">
      <w:pPr>
        <w:pStyle w:val="paragraph"/>
        <w:spacing w:before="0" w:beforeAutospacing="0" w:after="0" w:afterAutospacing="0"/>
        <w:ind w:left="1110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&lt;AR:HEAD&gt;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41A6B4BA" w14:textId="77777777">
      <w:pPr>
        <w:pStyle w:val="paragraph"/>
        <w:spacing w:before="0" w:beforeAutospacing="0" w:after="0" w:afterAutospacing="0"/>
        <w:ind w:left="1305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&lt;AR:ELEMENT Name=“ITEM”&gt; B &lt;/AR:ELEMENT&gt;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337024AE" w14:textId="77777777">
      <w:pPr>
        <w:pStyle w:val="paragraph"/>
        <w:spacing w:before="0" w:beforeAutospacing="0" w:after="0" w:afterAutospacing="0"/>
        <w:ind w:left="1110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&lt;/AR:HEAD&gt;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3D7CFE" w:rsidRDefault="003D7CFE" w14:paraId="703BEA45" w14:textId="77777777">
      <w:pPr>
        <w:pStyle w:val="paragraph"/>
        <w:spacing w:before="0" w:beforeAutospacing="0" w:after="0" w:afterAutospacing="0"/>
        <w:ind w:left="1110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&lt;AR:SUPPORT value=“0.5”/&gt;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</w:p>
    <w:p w:rsidRPr="0027054D" w:rsidR="003D7CFE" w:rsidP="0027054D" w:rsidRDefault="003D7CFE" w14:paraId="57CD3A78" w14:textId="4549F6B7">
      <w:pPr>
        <w:pStyle w:val="paragraph"/>
        <w:spacing w:before="0" w:beforeAutospacing="0" w:after="0" w:afterAutospacing="0"/>
        <w:ind w:left="1110"/>
        <w:textAlignment w:val="baseline"/>
        <w:rPr>
          <w:rFonts w:ascii="Courier New" w:hAnsi="Courier New" w:cs="Courier New"/>
          <w:sz w:val="22"/>
          <w:szCs w:val="22"/>
        </w:rPr>
      </w:pPr>
      <w:r w:rsidRPr="0027054D">
        <w:rPr>
          <w:rStyle w:val="normaltextrun"/>
          <w:rFonts w:ascii="Courier New" w:hAnsi="Courier New" w:cs="Courier New" w:eastAsiaTheme="majorEastAsia"/>
          <w:color w:val="231F20"/>
          <w:sz w:val="22"/>
          <w:szCs w:val="22"/>
        </w:rPr>
        <w:t>&lt;AR:CONFIDENCE value=“1”/&gt;</w:t>
      </w:r>
      <w:r w:rsidRPr="0027054D">
        <w:rPr>
          <w:rStyle w:val="eop"/>
          <w:rFonts w:ascii="Courier New" w:hAnsi="Courier New" w:cs="Courier New" w:eastAsiaTheme="majorEastAsia"/>
          <w:color w:val="231F20"/>
          <w:sz w:val="22"/>
          <w:szCs w:val="22"/>
        </w:rPr>
        <w:t> </w:t>
      </w:r>
      <w:r w:rsidRPr="0027054D">
        <w:rPr>
          <w:rStyle w:val="eop"/>
          <w:rFonts w:ascii="Courier New" w:hAnsi="Courier New" w:cs="Courier New" w:eastAsiaTheme="majorEastAsia"/>
          <w:sz w:val="22"/>
          <w:szCs w:val="22"/>
        </w:rPr>
        <w:t> </w:t>
      </w:r>
    </w:p>
    <w:p w:rsidRPr="00512304" w:rsidR="003D7CFE" w:rsidP="00512304" w:rsidRDefault="003D7CFE" w14:paraId="401FBEC6" w14:textId="77777777"/>
    <w:sectPr w:rsidRPr="00512304" w:rsidR="003D7CF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4169"/>
    <w:multiLevelType w:val="hybridMultilevel"/>
    <w:tmpl w:val="549E95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FD1A50"/>
    <w:multiLevelType w:val="hybridMultilevel"/>
    <w:tmpl w:val="2D6026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9206296">
    <w:abstractNumId w:val="1"/>
  </w:num>
  <w:num w:numId="2" w16cid:durableId="49827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A2"/>
    <w:rsid w:val="00013437"/>
    <w:rsid w:val="00017305"/>
    <w:rsid w:val="00021993"/>
    <w:rsid w:val="00030AC3"/>
    <w:rsid w:val="000322AB"/>
    <w:rsid w:val="00036FB1"/>
    <w:rsid w:val="000653F2"/>
    <w:rsid w:val="0007276C"/>
    <w:rsid w:val="000801B2"/>
    <w:rsid w:val="0008216C"/>
    <w:rsid w:val="000842F1"/>
    <w:rsid w:val="000A11A2"/>
    <w:rsid w:val="000B23ED"/>
    <w:rsid w:val="000B6E53"/>
    <w:rsid w:val="000D5E76"/>
    <w:rsid w:val="000E2740"/>
    <w:rsid w:val="000E7E7C"/>
    <w:rsid w:val="000F53F0"/>
    <w:rsid w:val="00106AF9"/>
    <w:rsid w:val="00117110"/>
    <w:rsid w:val="001179DD"/>
    <w:rsid w:val="00144B85"/>
    <w:rsid w:val="00166E79"/>
    <w:rsid w:val="001801DF"/>
    <w:rsid w:val="001816E0"/>
    <w:rsid w:val="0019029D"/>
    <w:rsid w:val="001B0C22"/>
    <w:rsid w:val="001B4A8C"/>
    <w:rsid w:val="00213093"/>
    <w:rsid w:val="0022097F"/>
    <w:rsid w:val="00234368"/>
    <w:rsid w:val="002454D0"/>
    <w:rsid w:val="0027054D"/>
    <w:rsid w:val="00294D42"/>
    <w:rsid w:val="002B602D"/>
    <w:rsid w:val="002D0C30"/>
    <w:rsid w:val="002D2C03"/>
    <w:rsid w:val="002F00D6"/>
    <w:rsid w:val="002F11FC"/>
    <w:rsid w:val="002F260A"/>
    <w:rsid w:val="002F6175"/>
    <w:rsid w:val="002F7BF5"/>
    <w:rsid w:val="00324B18"/>
    <w:rsid w:val="00331360"/>
    <w:rsid w:val="003320D2"/>
    <w:rsid w:val="00337832"/>
    <w:rsid w:val="00346AAD"/>
    <w:rsid w:val="00367A36"/>
    <w:rsid w:val="00384262"/>
    <w:rsid w:val="00386A8D"/>
    <w:rsid w:val="00387F28"/>
    <w:rsid w:val="0039200F"/>
    <w:rsid w:val="003B016A"/>
    <w:rsid w:val="003B703C"/>
    <w:rsid w:val="003B7F4A"/>
    <w:rsid w:val="003C33D7"/>
    <w:rsid w:val="003D7CFE"/>
    <w:rsid w:val="003F2608"/>
    <w:rsid w:val="003F40F1"/>
    <w:rsid w:val="003F553E"/>
    <w:rsid w:val="003F62EF"/>
    <w:rsid w:val="00403AD4"/>
    <w:rsid w:val="00410010"/>
    <w:rsid w:val="004352C2"/>
    <w:rsid w:val="00460625"/>
    <w:rsid w:val="00473FEE"/>
    <w:rsid w:val="004B7FC1"/>
    <w:rsid w:val="004C51AA"/>
    <w:rsid w:val="004C63B5"/>
    <w:rsid w:val="004D482B"/>
    <w:rsid w:val="004D67F5"/>
    <w:rsid w:val="004E4DA7"/>
    <w:rsid w:val="004E6C8A"/>
    <w:rsid w:val="00512304"/>
    <w:rsid w:val="00521255"/>
    <w:rsid w:val="005316F0"/>
    <w:rsid w:val="005457B9"/>
    <w:rsid w:val="0058149B"/>
    <w:rsid w:val="00581E43"/>
    <w:rsid w:val="00586B96"/>
    <w:rsid w:val="00596368"/>
    <w:rsid w:val="005978A5"/>
    <w:rsid w:val="005A1C60"/>
    <w:rsid w:val="005B2648"/>
    <w:rsid w:val="005B4E47"/>
    <w:rsid w:val="005C120C"/>
    <w:rsid w:val="005C429C"/>
    <w:rsid w:val="005F1F8A"/>
    <w:rsid w:val="00625211"/>
    <w:rsid w:val="00632E41"/>
    <w:rsid w:val="006374A2"/>
    <w:rsid w:val="00663A63"/>
    <w:rsid w:val="006730E2"/>
    <w:rsid w:val="00674F8D"/>
    <w:rsid w:val="006D10A5"/>
    <w:rsid w:val="006E73F8"/>
    <w:rsid w:val="00705B12"/>
    <w:rsid w:val="00716E2B"/>
    <w:rsid w:val="00731BA8"/>
    <w:rsid w:val="00732678"/>
    <w:rsid w:val="00741305"/>
    <w:rsid w:val="00752252"/>
    <w:rsid w:val="00762864"/>
    <w:rsid w:val="00792769"/>
    <w:rsid w:val="007B18BB"/>
    <w:rsid w:val="007B5E7A"/>
    <w:rsid w:val="00802B18"/>
    <w:rsid w:val="00832395"/>
    <w:rsid w:val="00845FB1"/>
    <w:rsid w:val="008555BD"/>
    <w:rsid w:val="008613D2"/>
    <w:rsid w:val="008725BE"/>
    <w:rsid w:val="00885CD9"/>
    <w:rsid w:val="0089163E"/>
    <w:rsid w:val="00891945"/>
    <w:rsid w:val="00895B46"/>
    <w:rsid w:val="008A5CCA"/>
    <w:rsid w:val="008C624E"/>
    <w:rsid w:val="008C79B1"/>
    <w:rsid w:val="008D2611"/>
    <w:rsid w:val="008D4118"/>
    <w:rsid w:val="008F35B9"/>
    <w:rsid w:val="0090414B"/>
    <w:rsid w:val="00910817"/>
    <w:rsid w:val="009215B1"/>
    <w:rsid w:val="00921E4C"/>
    <w:rsid w:val="00982D38"/>
    <w:rsid w:val="009869CE"/>
    <w:rsid w:val="009A31B9"/>
    <w:rsid w:val="009D03CA"/>
    <w:rsid w:val="009D580A"/>
    <w:rsid w:val="00A02ED6"/>
    <w:rsid w:val="00A10DC7"/>
    <w:rsid w:val="00A12EEE"/>
    <w:rsid w:val="00A166E3"/>
    <w:rsid w:val="00A3783A"/>
    <w:rsid w:val="00A5242D"/>
    <w:rsid w:val="00A53151"/>
    <w:rsid w:val="00A54784"/>
    <w:rsid w:val="00A67743"/>
    <w:rsid w:val="00A76F50"/>
    <w:rsid w:val="00A96C95"/>
    <w:rsid w:val="00AA6D3B"/>
    <w:rsid w:val="00AB2120"/>
    <w:rsid w:val="00AB7581"/>
    <w:rsid w:val="00AC59A2"/>
    <w:rsid w:val="00AE16B2"/>
    <w:rsid w:val="00AF521C"/>
    <w:rsid w:val="00AF77A9"/>
    <w:rsid w:val="00B036F7"/>
    <w:rsid w:val="00B3333D"/>
    <w:rsid w:val="00B33A95"/>
    <w:rsid w:val="00B7469C"/>
    <w:rsid w:val="00BA45AE"/>
    <w:rsid w:val="00BB3905"/>
    <w:rsid w:val="00BB7FCD"/>
    <w:rsid w:val="00BC22C4"/>
    <w:rsid w:val="00BE7A52"/>
    <w:rsid w:val="00C072B5"/>
    <w:rsid w:val="00C12052"/>
    <w:rsid w:val="00C32011"/>
    <w:rsid w:val="00C42E62"/>
    <w:rsid w:val="00C61567"/>
    <w:rsid w:val="00C725BE"/>
    <w:rsid w:val="00C77434"/>
    <w:rsid w:val="00C860E9"/>
    <w:rsid w:val="00CA1B0B"/>
    <w:rsid w:val="00CB437D"/>
    <w:rsid w:val="00CB562D"/>
    <w:rsid w:val="00CB7B66"/>
    <w:rsid w:val="00CD0874"/>
    <w:rsid w:val="00CD5A4B"/>
    <w:rsid w:val="00CE0449"/>
    <w:rsid w:val="00CF0ACB"/>
    <w:rsid w:val="00D10826"/>
    <w:rsid w:val="00D21C94"/>
    <w:rsid w:val="00D33325"/>
    <w:rsid w:val="00D525B3"/>
    <w:rsid w:val="00D6351D"/>
    <w:rsid w:val="00D81647"/>
    <w:rsid w:val="00D82D6E"/>
    <w:rsid w:val="00D93285"/>
    <w:rsid w:val="00DB4351"/>
    <w:rsid w:val="00DE0C22"/>
    <w:rsid w:val="00E140D7"/>
    <w:rsid w:val="00E213C7"/>
    <w:rsid w:val="00E23DCE"/>
    <w:rsid w:val="00E34966"/>
    <w:rsid w:val="00E57517"/>
    <w:rsid w:val="00E61F6B"/>
    <w:rsid w:val="00E70944"/>
    <w:rsid w:val="00E72860"/>
    <w:rsid w:val="00E779F2"/>
    <w:rsid w:val="00E9667E"/>
    <w:rsid w:val="00EC1F58"/>
    <w:rsid w:val="00ED7938"/>
    <w:rsid w:val="00EE4416"/>
    <w:rsid w:val="00F13EE9"/>
    <w:rsid w:val="00F24A6F"/>
    <w:rsid w:val="00F310EF"/>
    <w:rsid w:val="00F4609D"/>
    <w:rsid w:val="00F47F79"/>
    <w:rsid w:val="00F7108D"/>
    <w:rsid w:val="00F727E4"/>
    <w:rsid w:val="00F8619F"/>
    <w:rsid w:val="00F866D8"/>
    <w:rsid w:val="00F87461"/>
    <w:rsid w:val="00F932DA"/>
    <w:rsid w:val="00FB0F11"/>
    <w:rsid w:val="00FC0AFD"/>
    <w:rsid w:val="00FC10D9"/>
    <w:rsid w:val="00FD2023"/>
    <w:rsid w:val="00FE4CA2"/>
    <w:rsid w:val="00FE4E0B"/>
    <w:rsid w:val="00FE5AEE"/>
    <w:rsid w:val="00FE784A"/>
    <w:rsid w:val="00FF3096"/>
    <w:rsid w:val="0FEFC096"/>
    <w:rsid w:val="25689B8D"/>
    <w:rsid w:val="36EBBB15"/>
    <w:rsid w:val="415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9F59A"/>
  <w15:chartTrackingRefBased/>
  <w15:docId w15:val="{9C477071-14DE-4E53-9778-30696080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1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1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1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A11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A11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A11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0A11A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A11A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A11A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A11A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A11A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A1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1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A11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A1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1A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A1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1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A1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1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B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B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6C8A"/>
    <w:rPr>
      <w:color w:val="666666"/>
    </w:rPr>
  </w:style>
  <w:style w:type="paragraph" w:styleId="paragraph" w:customStyle="1">
    <w:name w:val="paragraph"/>
    <w:basedOn w:val="Normal"/>
    <w:rsid w:val="003D7CF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3D7CFE"/>
  </w:style>
  <w:style w:type="character" w:styleId="eop" w:customStyle="1">
    <w:name w:val="eop"/>
    <w:basedOn w:val="DefaultParagraphFont"/>
    <w:rsid w:val="003D7CFE"/>
  </w:style>
  <w:style w:type="character" w:styleId="SubtleEmphasis">
    <w:name w:val="Subtle Emphasis"/>
    <w:basedOn w:val="DefaultParagraphFont"/>
    <w:uiPriority w:val="19"/>
    <w:qFormat/>
    <w:rsid w:val="00C072B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iris.com/en/mathtype/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hyperlink" Target="https://support.microsoft.com/en-us/office/write-an-equation-or-formula-1d01cabc-ceb1-458d-bc70-7f9737722702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411CDABB5F9469DAE63E32D5427F4" ma:contentTypeVersion="16" ma:contentTypeDescription="Create a new document." ma:contentTypeScope="" ma:versionID="c58e7c150caa16743bfce4d3b8eee3cf">
  <xsd:schema xmlns:xsd="http://www.w3.org/2001/XMLSchema" xmlns:xs="http://www.w3.org/2001/XMLSchema" xmlns:p="http://schemas.microsoft.com/office/2006/metadata/properties" xmlns:ns2="2af9360f-c2d0-4468-b3be-459341a49877" xmlns:ns3="f0985e01-06e6-4b9a-beeb-81a0a4876613" targetNamespace="http://schemas.microsoft.com/office/2006/metadata/properties" ma:root="true" ma:fieldsID="2a9193f52bee4091d4d1ae50c93ceddb" ns2:_="" ns3:_="">
    <xsd:import namespace="2af9360f-c2d0-4468-b3be-459341a49877"/>
    <xsd:import namespace="f0985e01-06e6-4b9a-beeb-81a0a4876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9360f-c2d0-4468-b3be-459341a49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1f91fe6-f9a0-49fd-984b-adb492d06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5e01-06e6-4b9a-beeb-81a0a4876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067070-a48c-4138-be1d-9f779be1e3f3}" ma:internalName="TaxCatchAll" ma:showField="CatchAllData" ma:web="f0985e01-06e6-4b9a-beeb-81a0a4876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9360f-c2d0-4468-b3be-459341a49877">
      <Terms xmlns="http://schemas.microsoft.com/office/infopath/2007/PartnerControls"/>
    </lcf76f155ced4ddcb4097134ff3c332f>
    <TaxCatchAll xmlns="f0985e01-06e6-4b9a-beeb-81a0a4876613" xsi:nil="true"/>
  </documentManagement>
</p:properties>
</file>

<file path=customXml/itemProps1.xml><?xml version="1.0" encoding="utf-8"?>
<ds:datastoreItem xmlns:ds="http://schemas.openxmlformats.org/officeDocument/2006/customXml" ds:itemID="{92FF9B8B-69D8-4021-9C1F-DEB31A19C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9360f-c2d0-4468-b3be-459341a49877"/>
    <ds:schemaRef ds:uri="f0985e01-06e6-4b9a-beeb-81a0a4876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EEA9C-14EA-4A8F-A48B-76D60A1BC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22F16-79A1-4999-A519-D453598E5F52}">
  <ds:schemaRefs>
    <ds:schemaRef ds:uri="http://schemas.microsoft.com/office/2006/metadata/properties"/>
    <ds:schemaRef ds:uri="http://schemas.microsoft.com/office/infopath/2007/PartnerControls"/>
    <ds:schemaRef ds:uri="2af9360f-c2d0-4468-b3be-459341a49877"/>
    <ds:schemaRef ds:uri="f0985e01-06e6-4b9a-beeb-81a0a487661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eXtyles Bibliographic Reference Processing</dc:creator>
  <cp:keywords/>
  <dc:description/>
  <cp:lastModifiedBy>Chris Shearer</cp:lastModifiedBy>
  <cp:revision>215</cp:revision>
  <dcterms:created xsi:type="dcterms:W3CDTF">2025-05-14T20:06:00Z</dcterms:created>
  <dcterms:modified xsi:type="dcterms:W3CDTF">2025-05-15T17:50:01Z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0x010100372411CDABB5F9469DAE63E32D5427F4</vt:lpwstr>
  </property>
  <property fmtid="{D5CDD505-2E9C-101B-9397-08002B2CF9AE}" pid="3" name="MediaServiceImageTags">
    <vt:lpwstr/>
  </property>
</Properties>
</file>